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aps/>
          <w:color w:val="9C7F2E"/>
          <w:spacing w:val="40"/>
          <w:sz w:val="18"/>
          <w:szCs w:val="18"/>
        </w:rPr>
        <w:t xml:space="preserve">Loan officer quick reference</w:t>
      </w:r>
    </w:p>
    <w:p>
      <w:pPr>
        <w:pStyle w:val="Title"/>
      </w:pPr>
      <w:r>
        <w:t xml:space="preserve">VA IRRRL: Application to Processing</w:t>
      </w:r>
    </w:p>
    <w:p>
      <w:r>
        <w:rPr>
          <w:color w:val="5A6472"/>
          <w:sz w:val="23"/>
          <w:szCs w:val="23"/>
        </w:rPr>
        <w:t xml:space="preserve">A 15-step path from a new file to a clean hand-off, plus the gates that stop a file and the words to use with borrowers.</w:t>
      </w:r>
    </w:p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r>
              <w:rPr>
                <w:b/>
                <w:bCs/>
                <w:sz w:val="22"/>
                <w:szCs w:val="22"/>
              </w:rPr>
              <w:t xml:space="preserve">Keep it simple.</w:t>
            </w:r>
            <w:r>
              <w:rPr>
                <w:sz w:val="22"/>
                <w:szCs w:val="22"/>
              </w:rPr>
              <w:t xml:space="preserve"> An IRRRL is a lightweight loan. Confirm the benefit, complete the VA forms, send disclosures, and hand off clean. Don't over-document.</w:t>
            </w:r>
          </w:p>
          <w:p>
            <w:pPr>
              <w:spacing w:after="0"/>
            </w:pPr>
            <w:r>
              <w:rPr>
                <w:color w:val="5A6472"/>
                <w:sz w:val="18"/>
                <w:szCs w:val="18"/>
              </w:rPr>
              <w:t xml:space="preserve">Written for loan officers who already know their loan origination system (e.g., Encompass) and WebLGY. It supports, and doesn't replace, your manager's direction or official policy.</w:t>
            </w:r>
          </w:p>
        </w:tc>
      </w:tr>
    </w:tbl>
    <w:p>
      <w:pPr>
        <w:pStyle w:val="Heading1"/>
      </w:pPr>
      <w:r>
        <w:t xml:space="preserve">Before you start</w:t>
      </w:r>
    </w:p>
    <w:p>
      <w:r>
        <w:t xml:space="preserve">Confirm the borrower is VA-eligible and pull the </w:t>
      </w:r>
      <w:r>
        <w:rPr>
          <w:b/>
          <w:bCs/>
        </w:rPr>
        <w:t xml:space="preserve">Certificate of Eligibility (COE)</w:t>
      </w:r>
      <w:r>
        <w:t xml:space="preserve"> from WebLGY. It shows entitlement and whether the funding fee is waived.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480"/>
      </w:tblGrid>
      <w:tr>
        <w:trPr>
          <w:cantSplit/>
          <w:tblHeader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Rule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What it means for the file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No income, employment, or assets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Leave those sections of the 1003 blank.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No appraisal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Value = the original loan amount of the existing VA loan.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Payment test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The rate must drop at least 0.50%, unless the loan goes from ARM to fixed, to a shorter term, or includes energy-efficient improvements.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Recoupment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Closing costs must be recovered through monthly savings in 36 months or less.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Funding fee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0.50%, unless the COE shows the veteran is exempt.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Occupancy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The veteran (or spouse of an active-duty veteran) certifies they live or lived in the home as a primary residence.</w:t>
            </w:r>
          </w:p>
        </w:tc>
      </w:tr>
    </w:tbl>
    <w:p>
      <w:pPr>
        <w:spacing w:after="60"/>
      </w:pPr>
    </w:p>
    <w:p>
      <w:r>
        <w:rPr>
          <w:b/>
          <w:bCs/>
          <w:sz w:val="20"/>
          <w:szCs w:val="20"/>
        </w:rPr>
        <w:t xml:space="preserve">Documents to gather now:</w:t>
      </w:r>
      <w:r>
        <w:rPr>
          <w:sz w:val="20"/>
          <w:szCs w:val="20"/>
        </w:rPr>
        <w:t xml:space="preserve"> COE, homeowners insurance declarations page, property tax report, and the current mortgage statement if the loan is a transfer refi.</w:t>
      </w:r>
    </w:p>
    <w:p>
      <w:r>
        <w:rPr>
          <w:b/>
          <w:bCs/>
          <w:sz w:val="20"/>
          <w:szCs w:val="20"/>
        </w:rPr>
        <w:t xml:space="preserve">Two kinds of IRRRL in this guide:</w:t>
      </w:r>
      <w:r>
        <w:rPr>
          <w:sz w:val="20"/>
          <w:szCs w:val="20"/>
        </w:rPr>
        <w:t xml:space="preserve"> an </w:t>
      </w:r>
      <w:r>
        <w:rPr>
          <w:b/>
          <w:bCs/>
          <w:sz w:val="20"/>
          <w:szCs w:val="20"/>
        </w:rPr>
        <w:t xml:space="preserve">in-house refi</w:t>
      </w:r>
      <w:r>
        <w:rPr>
          <w:sz w:val="20"/>
          <w:szCs w:val="20"/>
        </w:rPr>
        <w:t xml:space="preserve"> is a loan your company already services. A </w:t>
      </w:r>
      <w:r>
        <w:rPr>
          <w:b/>
          <w:bCs/>
          <w:sz w:val="20"/>
          <w:szCs w:val="20"/>
        </w:rPr>
        <w:t xml:space="preserve">transfer refi</w:t>
      </w:r>
      <w:r>
        <w:rPr>
          <w:sz w:val="20"/>
          <w:szCs w:val="20"/>
        </w:rPr>
        <w:t xml:space="preserve"> is a VA loan serviced somewhere else.</w:t>
      </w:r>
    </w:p>
    <w:p>
      <w:pPr>
        <w:pStyle w:val="Heading1"/>
      </w:pPr>
      <w:r>
        <w:t xml:space="preserve">Step by step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60"/>
        <w:gridCol w:w="2260"/>
        <w:gridCol w:w="7160"/>
      </w:tblGrid>
      <w:tr>
        <w:trPr>
          <w:cantSplit/>
          <w:tblHeader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Step  ·  When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What to do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1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Start the file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As soon as you're ready to build the loan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Create a new loan from the </w:t>
            </w:r>
            <w:r>
              <w:rPr>
                <w:b/>
                <w:bCs/>
              </w:rPr>
              <w:t xml:space="preserve">VA IRRRL Fixed</w:t>
            </w:r>
            <w:r>
              <w:t xml:space="preserve"> template. If the term isn't standard (e.g., 23 years = 276 months), enter </w:t>
            </w:r>
            <w:r>
              <w:rPr>
                <w:b/>
                <w:bCs/>
              </w:rPr>
              <w:t xml:space="preserve">360</w:t>
            </w:r>
            <w:r>
              <w:t xml:space="preserve">, add a comment with the actual term, and processing will update it. You can't disclose with an odd term.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2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Refinance information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Right after creating the file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</w:rPr>
              <w:t xml:space="preserve">In-house refi:</w:t>
            </w:r>
            <w:r>
              <w:t xml:space="preserve"> check </w:t>
            </w:r>
            <w:r>
              <w:rPr>
                <w:i/>
                <w:iCs/>
              </w:rPr>
              <w:t xml:space="preserve">Deduct Escrow from Loan Balance</w:t>
            </w:r>
            <w:r>
              <w:t xml:space="preserve">. </w:t>
            </w:r>
            <w:r>
              <w:rPr>
                <w:b/>
                <w:bCs/>
              </w:rPr>
              <w:t xml:space="preserve">Transfer refi:</w:t>
            </w:r>
            <w:r>
              <w:t xml:space="preserve"> check </w:t>
            </w:r>
            <w:r>
              <w:rPr>
                <w:i/>
                <w:iCs/>
              </w:rPr>
              <w:t xml:space="preserve">Return Escrow Account Balance to Borrower</w:t>
            </w:r>
            <w:r>
              <w:t xml:space="preserve">, and tell the borrower refunds usually arrive 2–3 weeks after closing.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3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FHA/VA information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Right after refinance info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Select </w:t>
            </w:r>
            <w:r>
              <w:rPr>
                <w:b/>
                <w:bCs/>
              </w:rPr>
              <w:t xml:space="preserve">Interest Rate Reduction Refinance Loan</w:t>
            </w:r>
            <w:r>
              <w:t xml:space="preserve">. This is the key trigger: it turns on streamline logic for the file.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4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Subject property &amp; credit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After setting the IRRRL type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Enter the </w:t>
            </w:r>
            <w:r>
              <w:rPr>
                <w:b/>
                <w:bCs/>
              </w:rPr>
              <w:t xml:space="preserve">original loan amount</w:t>
            </w:r>
            <w:r>
              <w:t xml:space="preserve"> of the existing VA loan as the value. </w:t>
            </w:r>
            <w:r>
              <w:rPr>
                <w:b/>
                <w:bCs/>
              </w:rPr>
              <w:t xml:space="preserve">In-house:</w:t>
            </w:r>
            <w:r>
              <w:t xml:space="preserve"> skip credit. </w:t>
            </w:r>
            <w:r>
              <w:rPr>
                <w:b/>
                <w:bCs/>
              </w:rPr>
              <w:t xml:space="preserve">Transfer:</w:t>
            </w:r>
            <w:r>
              <w:t xml:space="preserve"> order mortgage-only credit (MTR).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5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Occupancy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Before pricing and fees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Choose Primary, Second Home, or Investment. Pricing differs, so get this right.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6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VA Loan Information form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After occupancy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Complete the service items, upload the </w:t>
            </w:r>
            <w:r>
              <w:rPr>
                <w:b/>
                <w:bCs/>
              </w:rPr>
              <w:t xml:space="preserve">COE</w:t>
            </w:r>
            <w:r>
              <w:t xml:space="preserve">, and mark the funding fee </w:t>
            </w:r>
            <w:r>
              <w:rPr>
                <w:b/>
                <w:bCs/>
              </w:rPr>
              <w:t xml:space="preserve">Exempt</w:t>
            </w:r>
            <w:r>
              <w:t xml:space="preserve"> or </w:t>
            </w:r>
            <w:r>
              <w:rPr>
                <w:b/>
                <w:bCs/>
              </w:rPr>
              <w:t xml:space="preserve">Non-Exempt</w:t>
            </w:r>
            <w:r>
              <w:t xml:space="preserve"> based on the COE. Non-exempt fee = 0.50%.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7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1003 / URLA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After the VA form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</w:rPr>
              <w:t xml:space="preserve">Lender:</w:t>
            </w:r>
            <w:r>
              <w:t xml:space="preserve"> No Cash-Out Streamline; Refinance with Original Creditor = Yes (in-house only); Program = Interest Rate Reduction. </w:t>
            </w:r>
            <w:r>
              <w:rPr>
                <w:b/>
                <w:bCs/>
              </w:rPr>
              <w:t xml:space="preserve">Part 1:</w:t>
            </w:r>
            <w:r>
              <w:t xml:space="preserve"> Military service = Yes, with status. </w:t>
            </w:r>
            <w:r>
              <w:rPr>
                <w:b/>
                <w:bCs/>
              </w:rPr>
              <w:t xml:space="preserve">Part 2:</w:t>
            </w:r>
            <w:r>
              <w:t xml:space="preserve"> leave blank. </w:t>
            </w:r>
            <w:r>
              <w:rPr>
                <w:b/>
                <w:bCs/>
              </w:rPr>
              <w:t xml:space="preserve">Part 3:</w:t>
            </w:r>
            <w:r>
              <w:t xml:space="preserve"> current mortgage only. </w:t>
            </w:r>
            <w:r>
              <w:rPr>
                <w:b/>
                <w:bCs/>
              </w:rPr>
              <w:t xml:space="preserve">Part 4:</w:t>
            </w:r>
            <w:r>
              <w:t xml:space="preserve"> leave blank. Complete the COE fields.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8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VA/HUD addendum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Right after the 1003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#19 correct vesting · #20 Yes · #23 Yes · #25 select the top line.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9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Loan Estimate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Before fees and disclosures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On LE page 3, click </w:t>
            </w:r>
            <w:r>
              <w:rPr>
                <w:b/>
                <w:bCs/>
              </w:rPr>
              <w:t xml:space="preserve">Get Late Fee</w:t>
            </w:r>
            <w:r>
              <w:t xml:space="preserve">, then save.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10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VA-specific forms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After the LE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</w:rPr>
              <w:t xml:space="preserve">Rate Reduction Certification:</w:t>
            </w:r>
            <w:r>
              <w:t xml:space="preserve"> months remaining, original borrowers, recoupment under 36 months, Net Tangible Benefit = Fixed. </w:t>
            </w:r>
            <w:r>
              <w:rPr>
                <w:b/>
                <w:bCs/>
              </w:rPr>
              <w:t xml:space="preserve">26-8216a:</w:t>
            </w:r>
            <w:r>
              <w:t xml:space="preserve"> complete the lower section.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11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Fees &amp; title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Before disclosures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Run your fee quote tool and select your approved title provider. Confirm </w:t>
            </w:r>
            <w:r>
              <w:rPr>
                <w:b/>
                <w:bCs/>
              </w:rPr>
              <w:t xml:space="preserve">Present Monthly Housing Expense</w:t>
            </w:r>
            <w:r>
              <w:t xml:space="preserve"> is filled in.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12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Upload documents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After fees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COE (always) · HOI declarations page · property tax report · current mortgage statement (transfer refis only).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13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Recoupment check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Before sending disclosures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Total closing costs ÷ monthly P&amp;I savings = months to recoup. </w:t>
            </w:r>
            <w:r>
              <w:rPr>
                <w:b/>
                <w:bCs/>
              </w:rPr>
              <w:t xml:space="preserve">Must be 36 or less.</w:t>
            </w:r>
            <w:r>
              <w:t xml:space="preserve"> Leave out the funding fee, escrows, and prepaids; subtract any lender credits.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14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Send disclosures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After recoupment passes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Do a quick accuracy pass (program, occupancy, fees, VA forms). Send initial disclosures through the borrower portal and track the acknowledgment.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9C7F2E"/>
                <w:sz w:val="24"/>
                <w:szCs w:val="24"/>
              </w:rPr>
              <w:t xml:space="preserve">15</w:t>
            </w:r>
          </w:p>
        </w:tc>
        <w:tc>
          <w:tcPr>
            <w:tcW w:type="dxa" w:w="22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0D1B2A"/>
              </w:rPr>
              <w:t xml:space="preserve">Hand off to processing</w:t>
            </w:r>
          </w:p>
          <w:p>
            <w:pPr>
              <w:spacing w:after="0"/>
            </w:pPr>
            <w:r>
              <w:rPr>
                <w:i/>
                <w:iCs/>
                <w:color w:val="5A6472"/>
                <w:sz w:val="18"/>
                <w:szCs w:val="18"/>
              </w:rPr>
              <w:t xml:space="preserve">After the borrower acknowledges</w:t>
            </w:r>
          </w:p>
        </w:tc>
        <w:tc>
          <w:tcPr>
            <w:tcW w:type="dxa" w:w="716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Select the processor, mark Finished, and submit to processing. Add a note: in-house or transfer, which escrow option, credit status, and any occupancy details you explained.</w:t>
            </w:r>
          </w:p>
        </w:tc>
      </w:tr>
    </w:tbl>
    <w:p>
      <w:pPr>
        <w:pStyle w:val="Heading1"/>
      </w:pPr>
      <w:r>
        <w:t xml:space="preserve">Stop gates</w:t>
      </w:r>
    </w:p>
    <w:p>
      <w:r>
        <w:t xml:space="preserve">If any of these is true, don't send disclosures yet.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COE is missing or the funding fee exemption isn't confirmed.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rate drops less than 0.50% with no valid exception.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Recoupment is more than 36 months.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Occupancy is set wrong, which affects pricing and eligibility.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Fees haven't been run or the LE wasn't saved.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VA form is incomplete.</w:t>
      </w:r>
    </w:p>
    <w:p>
      <w:pPr>
        <w:pStyle w:val="Heading1"/>
      </w:pPr>
      <w:r>
        <w:t xml:space="preserve">Talk tracks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480"/>
      </w:tblGrid>
      <w:tr>
        <w:trPr>
          <w:cantSplit/>
          <w:tblHeader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When the borrower asks…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You can say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About their escrow (in-house refi)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“You can either deduct your current escrow from the new loan balance or get it back as a refund. Refunds usually arrive 2–3 weeks after closing.”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Why no income check or appraisal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“The VA already guarantees your loan, so this streamlined program focuses on lowering your rate and payment quickly.”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About the 36-month rule</w:t>
            </w:r>
          </w:p>
        </w:tc>
        <w:tc>
          <w:tcPr>
            <w:tcW w:type="dxa" w:w="7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“By rule, your monthly savings have to cover your closing costs within 36 months. We check that before we send your disclosures.”</w:t>
            </w:r>
          </w:p>
        </w:tc>
      </w:tr>
    </w:tbl>
    <w:p>
      <w:pPr>
        <w:pStyle w:val="Heading1"/>
      </w:pPr>
      <w:r>
        <w:t xml:space="preserve">Final checklist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COE pulled and funding fee status confirmed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VA IRRRL Fixed template; term entered correctly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Escrow option set (deduct for in-house, return for transfer)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IRRRL selected in FHA/VA information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Value = original loan amount; credit skipped (in-house) or MTR ordered (transfer)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Occupancy set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VA Loan Information form complete and COE uploaded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1003 lender section and Parts 1–4 complete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VA/HUD addendum #19, #20, #23, #25 complete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LE page 3 late fee pulled and saved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Rate Reduction Certification and 26-8216a complete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Fees run, title provider selected, present housing expense filled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Documents uploaded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Recoupment is 36 months or less</w:t>
      </w:r>
    </w:p>
    <w:p>
      <w:pPr>
        <w:pStyle w:val="ListParagraph"/>
        <w:numPr>
          <w:ilvl w:val="0"/>
          <w:numId w:val="3"/>
        </w:numPr>
        <w:spacing w:after="30"/>
      </w:pPr>
      <w:r>
        <w:t xml:space="preserve">Disclosures acknowledged; submitted to processing with a clean note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0D2" w:sz="4" w:space="6"/>
      </w:pBdr>
      <w:tabs>
        <w:tab w:val="right" w:pos="10080"/>
      </w:tabs>
    </w:pPr>
    <w:r>
      <w:rPr>
        <w:color w:val="5A6472"/>
        <w:sz w:val="16"/>
        <w:szCs w:val="16"/>
      </w:rPr>
      <w:t xml:space="preserve">Sample job aid by The Art of Learning Design™. Always follow your organization's current policy and procedures.</w:t>
    </w:r>
    <w:r>
      <w:rPr>
        <w:color w:val="5A6472"/>
        <w:sz w:val="16"/>
        <w:szCs w:val="16"/>
      </w:rPr>
      <w:t xml:space="preserve">	Page </w:t>
    </w:r>
    <w:r>
      <w:rPr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rPr>
        <w:rFonts w:ascii="Georgia" w:cs="Georgia" w:eastAsia="Georgia" w:hAnsi="Georgia"/>
        <w:i/>
        <w:iCs/>
        <w:color w:val="0D1B2A"/>
        <w:sz w:val="18"/>
        <w:szCs w:val="18"/>
      </w:rPr>
      <w:t xml:space="preserve">The Art of Learning Design™</w:t>
    </w:r>
    <w:r>
      <w:rPr>
        <w:b/>
        <w:bCs/>
        <w:caps/>
        <w:color w:val="9C7F2E"/>
        <w:spacing w:val="30"/>
        <w:sz w:val="16"/>
        <w:szCs w:val="16"/>
      </w:rPr>
      <w:t xml:space="preserve">	Loan Officer Quick Reference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00" w:hanging="300"/>
      </w:pPr>
      <w:rPr>
        <w:color w:val="9C7F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833"/>
        <w:sz w:val="21"/>
        <w:szCs w:val="21"/>
      </w:rPr>
    </w:rPrDefault>
    <w:pPrDefault>
      <w:pPr>
        <w:spacing w:after="10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Georgia" w:cs="Georgia" w:eastAsia="Georgia" w:hAnsi="Georgia"/>
      <w:b/>
      <w:bCs/>
      <w:color w:val="0D1B2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rFonts w:ascii="Georgia" w:cs="Georgia" w:eastAsia="Georgia" w:hAnsi="Georgia"/>
      <w:b/>
      <w:bCs/>
      <w:color w:val="0D1B2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rFonts w:ascii="Calibri" w:cs="Calibri" w:eastAsia="Calibri" w:hAnsi="Calibri"/>
      <w:b/>
      <w:bCs/>
      <w:caps/>
      <w:color w:val="9C7F2E"/>
      <w:spacing w:val="20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 IRRRL: Application to Processing</dc:title>
  <dc:creator>Anita D. Jones, M.Ed</dc:creator>
  <cp:lastModifiedBy>Un-named</cp:lastModifiedBy>
  <cp:revision>1</cp:revision>
  <dcterms:created xsi:type="dcterms:W3CDTF">2026-10-14T20:05:37.176Z</dcterms:created>
  <dcterms:modified xsi:type="dcterms:W3CDTF">2026-10-14T20:05:37.176Z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