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aps/>
          <w:color w:val="9C7F2E"/>
          <w:spacing w:val="40"/>
          <w:sz w:val="18"/>
          <w:szCs w:val="18"/>
        </w:rPr>
        <w:t xml:space="preserve">Executive summary</w:t>
      </w:r>
    </w:p>
    <w:p>
      <w:pPr>
        <w:pStyle w:val="Title"/>
      </w:pPr>
      <w:r>
        <w:t xml:space="preserve">Loan Operations Onboarding Program</w:t>
      </w:r>
    </w:p>
    <w:p>
      <w:r>
        <w:rPr>
          <w:color w:val="5A6472"/>
          <w:sz w:val="23"/>
          <w:szCs w:val="23"/>
        </w:rPr>
        <w:t xml:space="preserve">A 10-day program that takes new processors and conditions coordinators from orientation to handling live refinance files with confidence.</w:t>
      </w:r>
    </w:p>
    <w:p>
      <w:pPr>
        <w:spacing w:after="4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80"/>
      </w:tblGrid>
      <w:t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D1B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60"/>
            </w:pPr>
            <w:r>
              <w:rPr>
                <w:b/>
                <w:bCs/>
                <w:color w:val="C9A84C"/>
                <w:spacing w:val="40"/>
                <w:sz w:val="18"/>
                <w:szCs w:val="18"/>
              </w:rPr>
              <w:t xml:space="preserve">THE BOTTOM LINE</w:t>
            </w:r>
          </w:p>
          <w:p>
            <w:pPr>
              <w:spacing w:after="0"/>
            </w:pPr>
            <w:r>
              <w:rPr>
                <w:rFonts w:ascii="Georgia" w:cs="Georgia" w:eastAsia="Georgia" w:hAnsi="Georgia"/>
                <w:color w:val="FFFFFF"/>
                <w:sz w:val="23"/>
                <w:szCs w:val="23"/>
              </w:rPr>
              <w:t xml:space="preserve">New hires reach job-ready performance in two weeks instead of learning on live files. The program pairs core knowledge with realistic, system-based practice and ends with an end-to-end capstone file, so leaders see readiness before a new hire touches a borrower's loan.</w:t>
            </w:r>
          </w:p>
        </w:tc>
      </w:tr>
    </w:tbl>
    <w:p>
      <w:pPr>
        <w:pStyle w:val="Heading1"/>
      </w:pPr>
      <w:r>
        <w:t xml:space="preserve">Purpose &amp; scope</w:t>
      </w:r>
    </w:p>
    <w:p>
      <w:r>
        <w:t xml:space="preserve">New hires were arriving at their desks after corporate orientation without the role-specific skills to manage complex, high-volume refinance files. This program bridges that gap. By the end, new hires can manage FHA, VA, and conventional refinance files in compliance and deliver a consistent borrower experience.</w:t>
      </w:r>
    </w:p>
    <w:p>
      <w:pPr>
        <w:pStyle w:val="Heading1"/>
      </w:pPr>
      <w:r>
        <w:t xml:space="preserve">How the program runs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2700"/>
        <w:gridCol w:w="5480"/>
      </w:tblGrid>
      <w:tr>
        <w:trPr>
          <w:cantSplit/>
          <w:tblHeader/>
        </w:trPr>
        <w:tc>
          <w:tcPr>
            <w:tcW w:type="dxa" w:w="190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0D1B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When</w:t>
            </w:r>
          </w:p>
        </w:tc>
        <w:tc>
          <w:tcPr>
            <w:tcW w:type="dxa" w:w="270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0D1B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Focus</w:t>
            </w:r>
          </w:p>
        </w:tc>
        <w:tc>
          <w:tcPr>
            <w:tcW w:type="dxa" w:w="548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0D1B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What happens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0D1B2A"/>
              </w:rPr>
              <w:t xml:space="preserve">Before Day 1</w:t>
            </w:r>
          </w:p>
        </w:tc>
        <w:tc>
          <w:tcPr>
            <w:tcW w:type="dxa" w:w="270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>Alignment &amp; setup</w:t>
            </w:r>
          </w:p>
        </w:tc>
        <w:tc>
          <w:tcPr>
            <w:tcW w:type="dxa" w:w="548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>HR completes onboarding requirements. IT prepares credentials and equipment. A welcome letter, agenda, and participant workbook ship with the laptop.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F8F5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0D1B2A"/>
              </w:rPr>
              <w:t xml:space="preserve">Day 1</w:t>
            </w:r>
          </w:p>
        </w:tc>
        <w:tc>
          <w:tcPr>
            <w:tcW w:type="dxa" w:w="270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F8F5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>Connection &amp; orientation</w:t>
            </w:r>
          </w:p>
        </w:tc>
        <w:tc>
          <w:tcPr>
            <w:tcW w:type="dxa" w:w="548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F8F5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>IT validates access to every system. A welcome call introduces the team culture and expectations. HR covers benefits, compliance, and resources.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0D1B2A"/>
              </w:rPr>
              <w:t xml:space="preserve">Days 2–5</w:t>
            </w:r>
          </w:p>
        </w:tc>
        <w:tc>
          <w:tcPr>
            <w:tcW w:type="dxa" w:w="270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>Phase 1: Foundations</w:t>
            </w:r>
          </w:p>
        </w:tc>
        <w:tc>
          <w:tcPr>
            <w:tcW w:type="dxa" w:w="548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>Department strategy, role responsibilities, file intake and eFolder review, red-flag identification, system navigation (LOS, borrower portal, AUS), loan milestones, and product overviews: FHA Streamline, VA IRRRL, full doc, home equity.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F8F5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0D1B2A"/>
              </w:rPr>
              <w:t xml:space="preserve">Days 6–10</w:t>
            </w:r>
          </w:p>
        </w:tc>
        <w:tc>
          <w:tcPr>
            <w:tcW w:type="dxa" w:w="270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F8F5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>Phase 2: Mastery</w:t>
            </w:r>
          </w:p>
        </w:tc>
        <w:tc>
          <w:tcPr>
            <w:tcW w:type="dxa" w:w="548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F8F5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>Guided processing in the live systems, managing milestones from submission to clear to close, troubleshooting and pipeline management, a capstone end-to-end file, and a wrap-up with knowledge checks and leadership Q&amp;A.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0D1B2A"/>
              </w:rPr>
              <w:t xml:space="preserve">Ongoing</w:t>
            </w:r>
          </w:p>
        </w:tc>
        <w:tc>
          <w:tcPr>
            <w:tcW w:type="dxa" w:w="270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>Support after training</w:t>
            </w:r>
          </w:p>
        </w:tc>
        <w:tc>
          <w:tcPr>
            <w:tcW w:type="dxa" w:w="548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>An onboarding support team handles technical help and runs 30-day reviews. The hiring manager sets expectations and gives ongoing feedback.</w:t>
            </w:r>
          </w:p>
        </w:tc>
      </w:tr>
    </w:tbl>
    <w:p>
      <w:pPr>
        <w:pStyle w:val="Heading1"/>
      </w:pPr>
      <w:r>
        <w:t xml:space="preserve">Organizational outcomes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00"/>
        <w:gridCol w:w="4200"/>
        <w:gridCol w:w="3180"/>
      </w:tblGrid>
      <w:tr>
        <w:trPr>
          <w:cantSplit/>
          <w:tblHeader/>
        </w:trPr>
        <w:tc>
          <w:tcPr>
            <w:tcW w:type="dxa" w:w="270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0D1B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Outcome</w:t>
            </w:r>
          </w:p>
        </w:tc>
        <w:tc>
          <w:tcPr>
            <w:tcW w:type="dxa" w:w="420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0D1B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What changes</w:t>
            </w:r>
          </w:p>
        </w:tc>
        <w:tc>
          <w:tcPr>
            <w:tcW w:type="dxa" w:w="318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0D1B2A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Suggested measure</w:t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0D1B2A"/>
              </w:rPr>
              <w:t xml:space="preserve">Faster productivity</w:t>
            </w:r>
          </w:p>
        </w:tc>
        <w:tc>
          <w:tcPr>
            <w:tcW w:type="dxa" w:w="420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>New hires contribute sooner, with less training lag.</w:t>
            </w:r>
          </w:p>
        </w:tc>
        <w:tc>
          <w:tcPr>
            <w:tcW w:type="dxa" w:w="318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>Days to first independent file</w:t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0D1B2A"/>
              </w:rPr>
              <w:t xml:space="preserve">Fewer errors &amp; compliance misses</w:t>
            </w:r>
          </w:p>
        </w:tc>
        <w:tc>
          <w:tcPr>
            <w:tcW w:type="dxa" w:w="420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>Standard instruction and practice prevent costly mistakes.</w:t>
            </w:r>
          </w:p>
        </w:tc>
        <w:tc>
          <w:tcPr>
            <w:tcW w:type="dxa" w:w="318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>Conditions and rework per file</w:t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0D1B2A"/>
              </w:rPr>
              <w:t xml:space="preserve">Better communication</w:t>
            </w:r>
          </w:p>
        </w:tc>
        <w:tc>
          <w:tcPr>
            <w:tcW w:type="dxa" w:w="420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>Consistent messaging strengthens borrower relationships and collaboration with underwriting and sales.</w:t>
            </w:r>
          </w:p>
        </w:tc>
        <w:tc>
          <w:tcPr>
            <w:tcW w:type="dxa" w:w="318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>Escalations and borrower complaints</w:t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0D1B2A"/>
              </w:rPr>
              <w:t xml:space="preserve">More efficiency</w:t>
            </w:r>
          </w:p>
        </w:tc>
        <w:tc>
          <w:tcPr>
            <w:tcW w:type="dxa" w:w="420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>Confident processors need fewer escalations, freeing leaders for strategic work.</w:t>
            </w:r>
          </w:p>
        </w:tc>
        <w:tc>
          <w:tcPr>
            <w:tcW w:type="dxa" w:w="318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>Manager questions per week</w:t>
            </w:r>
          </w:p>
        </w:tc>
      </w:tr>
      <w:tr>
        <w:trPr>
          <w:cantSplit/>
          <w:tblHeader w:val="false"/>
        </w:trPr>
        <w:tc>
          <w:tcPr>
            <w:tcW w:type="dxa" w:w="270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0D1B2A"/>
              </w:rPr>
              <w:t xml:space="preserve">Retention &amp; satisfaction</w:t>
            </w:r>
          </w:p>
        </w:tc>
        <w:tc>
          <w:tcPr>
            <w:tcW w:type="dxa" w:w="420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>Ongoing support and feedback build a positive work environment.</w:t>
            </w:r>
          </w:p>
        </w:tc>
        <w:tc>
          <w:tcPr>
            <w:tcW w:type="dxa" w:w="318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  <w:vAlign w:val="top"/>
          </w:tcPr>
          <w:p>
            <w:pPr>
              <w:spacing w:after="0"/>
            </w:pPr>
            <w:r>
              <w:t xml:space="preserve">90-day retention</w:t>
            </w:r>
          </w:p>
        </w:tc>
      </w:tr>
    </w:tbl>
    <w:p>
      <w:pPr>
        <w:pStyle w:val="Heading1"/>
      </w:pPr>
      <w:r>
        <w:t xml:space="preserve">What's needed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Equipment:</w:t>
      </w:r>
      <w:r>
        <w:t xml:space="preserve"> laptop, monitors, headset, keyboard, and mouse, shipped before Day 1.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Materials:</w:t>
      </w:r>
      <w:r>
        <w:t xml:space="preserve"> welcome letter, participant workbook, and onboarding agenda.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HR resources:</w:t>
      </w:r>
      <w:r>
        <w:t xml:space="preserve"> Day 1 resources, employee handbook, and benefits information.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Support:</w:t>
      </w:r>
      <w:r>
        <w:t xml:space="preserve"> onboarding support team contact sheet.</w:t>
      </w:r>
    </w:p>
    <w:p>
      <w:pPr>
        <w:pStyle w:val="Heading1"/>
      </w:pPr>
      <w:r>
        <w:t xml:space="preserve">Summary</w:t>
      </w:r>
    </w:p>
    <w:p>
      <w:r>
        <w:t xml:space="preserve">This framework turns new hire training into a measurable business driver. It speeds up readiness, improves compliance accuracy, and raises the quality of the borrower experience.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0D2" w:sz="4" w:space="6"/>
      </w:pBdr>
      <w:tabs>
        <w:tab w:val="right" w:pos="10080"/>
      </w:tabs>
    </w:pPr>
    <w:r>
      <w:rPr>
        <w:color w:val="5A6472"/>
        <w:sz w:val="16"/>
        <w:szCs w:val="16"/>
      </w:rPr>
      <w:t xml:space="preserve">Sample executive brief by The Art of Learning Design™. Company details removed.</w:t>
    </w:r>
    <w:r>
      <w:rPr>
        <w:color w:val="5A6472"/>
        <w:sz w:val="16"/>
        <w:szCs w:val="16"/>
      </w:rPr>
      <w:t xml:space="preserve">	Page </w:t>
    </w:r>
    <w:r>
      <w:rPr>
        <w:color w:val="5A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</w:pPr>
    <w:r>
      <w:rPr>
        <w:rFonts w:ascii="Georgia" w:cs="Georgia" w:eastAsia="Georgia" w:hAnsi="Georgia"/>
        <w:i/>
        <w:iCs/>
        <w:color w:val="0D1B2A"/>
        <w:sz w:val="18"/>
        <w:szCs w:val="18"/>
      </w:rPr>
      <w:t xml:space="preserve">The Art of Learning Design™</w:t>
    </w:r>
    <w:r>
      <w:rPr>
        <w:b/>
        <w:bCs/>
        <w:caps/>
        <w:color w:val="9C7F2E"/>
        <w:spacing w:val="30"/>
        <w:sz w:val="16"/>
        <w:szCs w:val="16"/>
      </w:rPr>
      <w:t xml:space="preserve">	Executive Summary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400" w:hanging="300"/>
      </w:pPr>
      <w:rPr>
        <w:color w:val="9C7F2E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833"/>
        <w:sz w:val="21"/>
        <w:szCs w:val="21"/>
      </w:rPr>
    </w:rPrDefault>
    <w:pPrDefault>
      <w:pPr>
        <w:spacing w:after="10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20"/>
    </w:pPr>
    <w:rPr>
      <w:rFonts w:ascii="Georgia" w:cs="Georgia" w:eastAsia="Georgia" w:hAnsi="Georgia"/>
      <w:b/>
      <w:bCs/>
      <w:color w:val="0D1B2A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spacing w:after="120" w:before="300"/>
      <w:outlineLvl w:val="0"/>
    </w:pPr>
    <w:rPr>
      <w:rFonts w:ascii="Georgia" w:cs="Georgia" w:eastAsia="Georgia" w:hAnsi="Georgia"/>
      <w:b/>
      <w:bCs/>
      <w:color w:val="0D1B2A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80" w:before="200"/>
      <w:outlineLvl w:val="1"/>
    </w:pPr>
    <w:rPr>
      <w:rFonts w:ascii="Calibri" w:cs="Calibri" w:eastAsia="Calibri" w:hAnsi="Calibri"/>
      <w:b/>
      <w:bCs/>
      <w:caps/>
      <w:color w:val="9C7F2E"/>
      <w:spacing w:val="20"/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Executive Summary: Loan Operations Onboarding Program</dc:title>
  <dc:creator>Anita D. Jones, M.Ed</dc:creator>
  <cp:lastModifiedBy>Un-named</cp:lastModifiedBy>
  <cp:revision>1</cp:revision>
  <dcterms:created xsi:type="dcterms:W3CDTF">2026-10-14T20:05:37.188Z</dcterms:created>
  <dcterms:modified xsi:type="dcterms:W3CDTF">2026-10-14T20:05:37.188Z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